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drawing>
          <wp:inline distB="114300" distT="114300" distL="114300" distR="114300">
            <wp:extent cx="1209675" cy="1114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967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color w:val="07e1be"/>
          <w:sz w:val="28"/>
          <w:szCs w:val="28"/>
        </w:rPr>
      </w:pPr>
      <w:r w:rsidDel="00000000" w:rsidR="00000000" w:rsidRPr="00000000">
        <w:rPr>
          <w:color w:val="07e1be"/>
          <w:sz w:val="28"/>
          <w:szCs w:val="28"/>
          <w:rtl w:val="0"/>
        </w:rPr>
        <w:t xml:space="preserve">Achieving Greater Depth in Reading and Writing in Year 2</w:t>
      </w:r>
    </w:p>
    <w:p w:rsidR="00000000" w:rsidDel="00000000" w:rsidP="00000000" w:rsidRDefault="00000000" w:rsidRPr="00000000" w14:paraId="00000003">
      <w:pPr>
        <w:spacing w:line="240" w:lineRule="auto"/>
        <w:jc w:val="center"/>
        <w:rPr>
          <w:b w:val="1"/>
          <w:color w:val="07e1be"/>
          <w:sz w:val="28"/>
          <w:szCs w:val="28"/>
        </w:rPr>
      </w:pPr>
      <w:r w:rsidDel="00000000" w:rsidR="00000000" w:rsidRPr="00000000">
        <w:rPr>
          <w:rtl w:val="0"/>
        </w:rPr>
      </w:r>
    </w:p>
    <w:p w:rsidR="00000000" w:rsidDel="00000000" w:rsidP="00000000" w:rsidRDefault="00000000" w:rsidRPr="00000000" w14:paraId="00000004">
      <w:pPr>
        <w:spacing w:line="240" w:lineRule="auto"/>
        <w:jc w:val="center"/>
        <w:rPr>
          <w:b w:val="1"/>
          <w:color w:val="07e1be"/>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color w:val="07e1be"/>
          <w:sz w:val="24"/>
          <w:szCs w:val="24"/>
        </w:rPr>
      </w:pPr>
      <w:r w:rsidDel="00000000" w:rsidR="00000000" w:rsidRPr="00000000">
        <w:rPr>
          <w:b w:val="1"/>
          <w:color w:val="07e1be"/>
          <w:sz w:val="24"/>
          <w:szCs w:val="24"/>
          <w:rtl w:val="0"/>
        </w:rPr>
        <w:t xml:space="preserve">Course Overview</w:t>
      </w:r>
    </w:p>
    <w:p w:rsidR="00000000" w:rsidDel="00000000" w:rsidP="00000000" w:rsidRDefault="00000000" w:rsidRPr="00000000" w14:paraId="00000007">
      <w:pPr>
        <w:rPr>
          <w:sz w:val="24"/>
          <w:szCs w:val="24"/>
        </w:rPr>
      </w:pPr>
      <w:r w:rsidDel="00000000" w:rsidR="00000000" w:rsidRPr="00000000">
        <w:rPr>
          <w:sz w:val="24"/>
          <w:szCs w:val="24"/>
          <w:rtl w:val="0"/>
        </w:rPr>
        <w:t xml:space="preserve">This course will look at some of the higher order reading and writing skills that the children could experience, in order to be given the potential to reach the embedded/greater depth standards of the National Curriculum.  The TAFs will be referenced alongside the curriculum, with a view to demonstrating how to provide the opportunities to challenge and support the more able children, both through activities and games.  Participants will be able to share ideas and reference some of the most recent STA materials that are available, linked to current moderation advice and training.</w:t>
      </w:r>
    </w:p>
    <w:p w:rsidR="00000000" w:rsidDel="00000000" w:rsidP="00000000" w:rsidRDefault="00000000" w:rsidRPr="00000000" w14:paraId="00000008">
      <w:pPr>
        <w:rPr>
          <w:b w:val="1"/>
          <w:color w:val="07e1be"/>
          <w:sz w:val="24"/>
          <w:szCs w:val="24"/>
        </w:rPr>
      </w:pPr>
      <w:r w:rsidDel="00000000" w:rsidR="00000000" w:rsidRPr="00000000">
        <w:rPr>
          <w:b w:val="1"/>
          <w:color w:val="07e1be"/>
          <w:sz w:val="24"/>
          <w:szCs w:val="24"/>
          <w:rtl w:val="0"/>
        </w:rPr>
        <w:t xml:space="preserve">Course Content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 appropriate books for Y2</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reading comprehension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strategies to support reading at greater depth in Y2</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linking reading and writing</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differences between expected and greater depth</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vocabulary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writing in Y2</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examples of writing at greater depth</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 for greater depth in Y2</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8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greater depth and moderation</w:t>
      </w:r>
    </w:p>
    <w:p w:rsidR="00000000" w:rsidDel="00000000" w:rsidP="00000000" w:rsidRDefault="00000000" w:rsidRPr="00000000" w14:paraId="00000013">
      <w:pP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sectPr>
      <w:pgSz w:h="16838" w:w="11906"/>
      <w:pgMar w:bottom="851"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