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7e1be"/>
          <w:sz w:val="28"/>
          <w:szCs w:val="28"/>
        </w:rPr>
      </w:pPr>
      <w:bookmarkStart w:colFirst="0" w:colLast="0" w:name="_i1akim8m6yak" w:id="0"/>
      <w:bookmarkEnd w:id="0"/>
      <w:r w:rsidDel="00000000" w:rsidR="00000000" w:rsidRPr="00000000">
        <w:rPr>
          <w:b w:val="1"/>
          <w:color w:val="d21051"/>
          <w:sz w:val="32"/>
          <w:szCs w:val="32"/>
        </w:rPr>
        <w:drawing>
          <wp:inline distB="114300" distT="114300" distL="114300" distR="114300">
            <wp:extent cx="1209675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7e1be"/>
          <w:sz w:val="28"/>
          <w:szCs w:val="28"/>
        </w:rPr>
      </w:pPr>
      <w:bookmarkStart w:colFirst="0" w:colLast="0" w:name="_i1akim8m6yak" w:id="0"/>
      <w:bookmarkEnd w:id="0"/>
      <w:r w:rsidDel="00000000" w:rsidR="00000000" w:rsidRPr="00000000">
        <w:rPr>
          <w:b w:val="1"/>
          <w:color w:val="07e1be"/>
          <w:sz w:val="28"/>
          <w:szCs w:val="28"/>
          <w:rtl w:val="0"/>
        </w:rPr>
        <w:t xml:space="preserve">Achieving Age-Related Expectations in Reading Across the Primary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7e1be"/>
          <w:sz w:val="28"/>
          <w:szCs w:val="28"/>
        </w:rPr>
      </w:pPr>
      <w:r w:rsidDel="00000000" w:rsidR="00000000" w:rsidRPr="00000000">
        <w:rPr>
          <w:b w:val="1"/>
          <w:color w:val="07e1be"/>
          <w:sz w:val="28"/>
          <w:szCs w:val="28"/>
          <w:rtl w:val="0"/>
        </w:rPr>
        <w:t xml:space="preserve">A Course for English Subject Leaders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07e1b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Overview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This is a course for English Subject Leaders to review the reading provision in school.  It will cover the requirements to teach reading to reach age-related expectations in the primary school.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This course will support the teaching of specific reading skills in each year group and how to promote a love of reading for every child.  The course discusses the current KS1 and KS2 statutory Reading SATS, together with reading strategies to promote a deeper understanding of the requirements of them.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Content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Whole school consistency to the teaching of reading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importance of phonics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Reading for pleasure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Becoming fluent readers and what it means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Developing appropriate questioning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use of Reading Domains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Use of Reading Journals to inspire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Using Guided and Whole Class Reading lessons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Poetry – when and how?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Assessment of reading – effective methods for KS1 and KS2</w:t>
      </w:r>
    </w:p>
    <w:p w:rsidR="00000000" w:rsidDel="00000000" w:rsidP="00000000" w:rsidRDefault="00000000" w:rsidRPr="00000000" w14:paraId="00000017">
      <w:pPr>
        <w:ind w:left="360"/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