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drawing>
          <wp:inline distB="114300" distT="114300" distL="114300" distR="114300">
            <wp:extent cx="1209675" cy="111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967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color w:val="07e1be"/>
          <w:sz w:val="28"/>
          <w:szCs w:val="28"/>
        </w:rPr>
      </w:pPr>
      <w:r w:rsidDel="00000000" w:rsidR="00000000" w:rsidRPr="00000000">
        <w:rPr>
          <w:color w:val="07e1be"/>
          <w:sz w:val="28"/>
          <w:szCs w:val="28"/>
          <w:rtl w:val="0"/>
        </w:rPr>
        <w:t xml:space="preserve">Spelling, Punctuation and Grammar for Y5 and Y6 Teachers</w:t>
      </w:r>
    </w:p>
    <w:p w:rsidR="00000000" w:rsidDel="00000000" w:rsidP="00000000" w:rsidRDefault="00000000" w:rsidRPr="00000000" w14:paraId="00000003">
      <w:pPr>
        <w:spacing w:line="240" w:lineRule="auto"/>
        <w:jc w:val="center"/>
        <w:rPr>
          <w:color w:val="07e1be"/>
          <w:sz w:val="28"/>
          <w:szCs w:val="28"/>
        </w:rPr>
      </w:pPr>
      <w:r w:rsidDel="00000000" w:rsidR="00000000" w:rsidRPr="00000000">
        <w:rPr>
          <w:rtl w:val="0"/>
        </w:rPr>
      </w:r>
    </w:p>
    <w:p w:rsidR="00000000" w:rsidDel="00000000" w:rsidP="00000000" w:rsidRDefault="00000000" w:rsidRPr="00000000" w14:paraId="00000004">
      <w:pPr>
        <w:spacing w:line="240" w:lineRule="auto"/>
        <w:jc w:val="center"/>
        <w:rPr>
          <w:color w:val="07e1be"/>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07e1be"/>
          <w:sz w:val="24"/>
          <w:szCs w:val="24"/>
        </w:rPr>
      </w:pPr>
      <w:r w:rsidDel="00000000" w:rsidR="00000000" w:rsidRPr="00000000">
        <w:rPr>
          <w:b w:val="1"/>
          <w:color w:val="07e1be"/>
          <w:sz w:val="24"/>
          <w:szCs w:val="24"/>
          <w:rtl w:val="0"/>
        </w:rPr>
        <w:t xml:space="preserve">Course Overview</w:t>
      </w:r>
    </w:p>
    <w:p w:rsidR="00000000" w:rsidDel="00000000" w:rsidP="00000000" w:rsidRDefault="00000000" w:rsidRPr="00000000" w14:paraId="00000007">
      <w:pPr>
        <w:rPr/>
      </w:pPr>
      <w:r w:rsidDel="00000000" w:rsidR="00000000" w:rsidRPr="00000000">
        <w:rPr>
          <w:rtl w:val="0"/>
        </w:rPr>
        <w:t xml:space="preserve">An informative and practical course that is aimed English Subject Leaders, teachers in Junior, Middle and Primary schools (particularly but not exclusively Y6) and Senior Leadership team members. </w:t>
      </w:r>
    </w:p>
    <w:p w:rsidR="00000000" w:rsidDel="00000000" w:rsidP="00000000" w:rsidRDefault="00000000" w:rsidRPr="00000000" w14:paraId="00000008">
      <w:pPr>
        <w:rPr/>
      </w:pPr>
      <w:r w:rsidDel="00000000" w:rsidR="00000000" w:rsidRPr="00000000">
        <w:rPr>
          <w:rtl w:val="0"/>
        </w:rPr>
        <w:t xml:space="preserve">This course helps to address the need to teach Spelling, Punctuation and Grammar in KS2 with direct reference to the age related expectations. It will provide teachers with an activity bank and fun games to ensure that the teaching of SPaG is a whole school concern, where the children are taught specific skills and qualities to assist them when experiencing the SATs.  </w:t>
      </w:r>
    </w:p>
    <w:p w:rsidR="00000000" w:rsidDel="00000000" w:rsidP="00000000" w:rsidRDefault="00000000" w:rsidRPr="00000000" w14:paraId="00000009">
      <w:pPr>
        <w:rPr/>
      </w:pPr>
      <w:r w:rsidDel="00000000" w:rsidR="00000000" w:rsidRPr="00000000">
        <w:rPr>
          <w:rtl w:val="0"/>
        </w:rPr>
        <w:t xml:space="preserve">NB: Delegates will need to bring a book with them that they would like to use as a class text, in order to use it during a group workshop.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07e1be"/>
          <w:sz w:val="24"/>
          <w:szCs w:val="24"/>
        </w:rPr>
      </w:pPr>
      <w:r w:rsidDel="00000000" w:rsidR="00000000" w:rsidRPr="00000000">
        <w:rPr>
          <w:b w:val="1"/>
          <w:color w:val="07e1be"/>
          <w:sz w:val="24"/>
          <w:szCs w:val="24"/>
          <w:rtl w:val="0"/>
        </w:rPr>
        <w:t xml:space="preserve">Course Content</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How to meet the needs of the end of Year 6 expectations in Spelling, Punctuation and Grammar</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Developing games and activities to support learning</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Developing Spelling, Punctuation and Grammar activity carousels</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How to use SPaG in the context of real texts</w:t>
      </w:r>
    </w:p>
    <w:p w:rsidR="00000000" w:rsidDel="00000000" w:rsidP="00000000" w:rsidRDefault="00000000" w:rsidRPr="00000000" w14:paraId="00000010">
      <w:pPr>
        <w:numPr>
          <w:ilvl w:val="0"/>
          <w:numId w:val="1"/>
        </w:numPr>
        <w:ind w:left="720" w:hanging="360"/>
        <w:rPr/>
      </w:pPr>
      <w:r w:rsidDel="00000000" w:rsidR="00000000" w:rsidRPr="00000000">
        <w:rPr>
          <w:rFonts w:ascii="Calibri" w:cs="Calibri" w:eastAsia="Calibri" w:hAnsi="Calibri"/>
          <w:rtl w:val="0"/>
        </w:rPr>
        <w:t xml:space="preserve">Application of SPaG skills across the curriculum</w:t>
      </w: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Supporting the moderation processes during the year</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Supporting the application of skills in writing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bookmarkStart w:colFirst="0" w:colLast="0" w:name="_gjdgxs" w:id="0"/>
      <w:bookmarkEnd w:id="0"/>
      <w:r w:rsidDel="00000000" w:rsidR="00000000" w:rsidRPr="00000000">
        <w:rPr>
          <w:rtl w:val="0"/>
        </w:rPr>
      </w:r>
    </w:p>
    <w:sectPr>
      <w:pgSz w:h="16838" w:w="11906"/>
      <w:pgMar w:bottom="851"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