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209675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color w:val="07e1be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7e1be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7e1be"/>
          <w:sz w:val="28"/>
          <w:szCs w:val="28"/>
          <w:rtl w:val="0"/>
        </w:rPr>
        <w:t xml:space="preserve">Evidence Collection for Year 2 Moderation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color w:val="07e1b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Overview of Training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you feel confident about the moderation process and evidence collection?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Can you assess reading, writing and mathematics with accuracy and confidence?  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you have the necessary evidence to back up your judgements?</w:t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training will help Year 2 teachers, English subject leaders and senior leaders to address some of the current concerns around the evidence that is needed for moderation in reading, writing and mathematics in Key Stage One. 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Delegates will need to bring some examples of reading, writing and mathematics work with them to the training including cross-curricular evidence.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Objectives</w:t>
      </w:r>
      <w:r w:rsidDel="00000000" w:rsidR="00000000" w:rsidRPr="00000000">
        <w:rPr>
          <w:color w:val="07e1b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investigate work as an evidence-base to support Moderation in Y2 in reading, writing and mathematics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look at the wide range of evidence that could be used at the end of KS1 using texts as a context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share ideas between delegates to support evidence collection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cross reference evidence from different schools to ensure consistent standards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make Moderation evidence collection straightforward and linked into everyday work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present evidence to ensure coverage and 100% fit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