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209675" cy="1114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rPr>
          <w:color w:val="07e1be"/>
          <w:sz w:val="32"/>
          <w:szCs w:val="32"/>
          <w:rtl w:val="0"/>
        </w:rPr>
        <w:t xml:space="preserve"> </w:t>
      </w:r>
      <w:r w:rsidDel="00000000" w:rsidR="00000000" w:rsidRPr="00000000">
        <w:rPr>
          <w:color w:val="07e1be"/>
          <w:sz w:val="28"/>
          <w:szCs w:val="28"/>
          <w:rtl w:val="0"/>
        </w:rPr>
        <w:t xml:space="preserve">Moderation for Year 2 Teachers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Overview of training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you feel confident about the moderation process and evidence collection? Do you have a consistent Key Stage approach to collecting evidence for moderation? Can you assess reading, writing and mathematics with accuracy and confidence? Are you able to identify gaps in learning with a view to accelerating progress? Are you new to Year 2? 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training will help KS1 staff to feel in control of the moderation process with practical hints and tips, useful pupil resources and ideas for cross-curricular links.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 informative and practical course that is aimed at English Subject Leaders, teachers in KS1 (particularly but not exclusively Y2) and Senior Leadership team members. </w:t>
      </w:r>
    </w:p>
    <w:p w:rsidR="00000000" w:rsidDel="00000000" w:rsidP="00000000" w:rsidRDefault="00000000" w:rsidRPr="00000000" w14:paraId="0000000C">
      <w:pPr>
        <w:rPr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Course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 requirements for moderation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teacher Assessment framework information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happens during moderation?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‘Pupil Can Statements’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independent work?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writing evidence and resources for supporting independent work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reading evidence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maths evidence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cross-curricular evidence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preparation and efficiency for moderation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evidence preparation and timescales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positive experiences of schools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60" w:line="25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working together as a Key Stage</w:t>
      </w:r>
    </w:p>
    <w:p w:rsidR="00000000" w:rsidDel="00000000" w:rsidP="00000000" w:rsidRDefault="00000000" w:rsidRPr="00000000" w14:paraId="0000001A">
      <w:pPr>
        <w:ind w:left="360"/>
        <w:rPr/>
      </w:pPr>
      <w:r w:rsidDel="00000000" w:rsidR="00000000" w:rsidRPr="00000000">
        <w:rPr>
          <w:rtl w:val="0"/>
        </w:rPr>
      </w:r>
    </w:p>
    <w:sectPr>
      <w:pgSz w:h="16838" w:w="11906"/>
      <w:pgMar w:bottom="851" w:top="113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